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Created by participants of Access Coventry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An Artists’ Manifesto for Access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It might take a generation, but it starts now.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Act as an advocate for access.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Budget for access (think 20%).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Care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Slow down and have more time for care.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Start with the question “what do you need?”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Hold access as a conversation at the start, then keep on having it.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Make work with people, not for them.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When you create a new world in your work, imagine it is accessible.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Accept that some access needs can be best met after the event.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Experiment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Be curious about access.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Be creative with making your work accessible.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Make access fun.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Be brave, take risks, be excited.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Don't be afraid to do things differently.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sz w:val="42"/>
          <w:szCs w:val="42"/>
          <w:rtl w:val="0"/>
        </w:rPr>
        <w:t xml:space="preserve">Learn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 kind, be generous, and share to help others learn.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  <w:t xml:space="preserve">Communicate and talk about your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Progress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Start with something, then try and do something more.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 way something works once isn’t the way it works always.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It’s always a work in progress.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 honest about what we can do.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Fail and then get better.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Good access is good for everyone.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The Artists’ Manifesto for Access was created in collaboration with Dan Thompson, as part of Access Coventry – an initiative aimed at equipping artists in the city to more meaningfully implement access into their practice.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Access Coventry was managed by Shoot Festival with support from Talking Birds, on behalf of F13 – a loose network of independent artists and organisations in Coventry &amp; Warwickshire. It was commissioned by Coventry City of Culture Trust.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SUPPORTED BY: Coventry City of Culture Trust, Shoot Festival, Talking Birds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